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B3" w:rsidRDefault="003C14B3" w:rsidP="00004AF8">
      <w:pPr>
        <w:jc w:val="both"/>
        <w:rPr>
          <w:b/>
          <w:color w:val="4F81BD" w:themeColor="accent1"/>
          <w:sz w:val="28"/>
          <w:szCs w:val="28"/>
        </w:rPr>
      </w:pPr>
    </w:p>
    <w:p w:rsidR="001A4DBC" w:rsidRPr="003C14B3" w:rsidRDefault="005614A1" w:rsidP="003C14B3">
      <w:pPr>
        <w:jc w:val="center"/>
        <w:rPr>
          <w:b/>
          <w:color w:val="4F81BD" w:themeColor="accent1"/>
          <w:sz w:val="40"/>
          <w:szCs w:val="40"/>
          <w:u w:val="single"/>
        </w:rPr>
      </w:pPr>
      <w:r w:rsidRPr="003C14B3">
        <w:rPr>
          <w:b/>
          <w:color w:val="4F81BD" w:themeColor="accent1"/>
          <w:sz w:val="40"/>
          <w:szCs w:val="40"/>
          <w:u w:val="single"/>
        </w:rPr>
        <w:t>Základní informace k CBA VP analýze</w:t>
      </w:r>
    </w:p>
    <w:p w:rsidR="001A4DBC" w:rsidRPr="00BC1D7A" w:rsidRDefault="003C14B3" w:rsidP="00BC1D7A">
      <w:pPr>
        <w:pStyle w:val="Odstavecseseznamem"/>
        <w:numPr>
          <w:ilvl w:val="0"/>
          <w:numId w:val="11"/>
        </w:numPr>
        <w:ind w:left="142" w:firstLine="0"/>
        <w:jc w:val="both"/>
        <w:rPr>
          <w:rFonts w:cstheme="minorHAnsi"/>
        </w:rPr>
      </w:pPr>
      <w:r w:rsidRPr="00BC1D7A">
        <w:rPr>
          <w:rFonts w:cstheme="minorHAnsi"/>
        </w:rPr>
        <w:t>CBA analýza veřejná podpora je povinná pro všechny žadatele z výzvy Infrastruktura sociálních služeb.</w:t>
      </w:r>
    </w:p>
    <w:p w:rsidR="003C14B3" w:rsidRDefault="003C14B3" w:rsidP="00BC1D7A">
      <w:pPr>
        <w:pStyle w:val="Odstavecseseznamem"/>
        <w:numPr>
          <w:ilvl w:val="0"/>
          <w:numId w:val="12"/>
        </w:numPr>
        <w:jc w:val="both"/>
        <w:rPr>
          <w:lang w:eastAsia="ja-JP"/>
        </w:rPr>
      </w:pPr>
      <w:r w:rsidRPr="007B6C33">
        <w:rPr>
          <w:lang w:eastAsia="ja-JP"/>
        </w:rPr>
        <w:t>Jelikož u projektů zakládajících veřejnou podporu nejsou sledovány skutečné příjmy dle čl. 61 ani příjmy dle čl. 65, je cílem „CBA veřejná podpora“ ověřit, zda projekt</w:t>
      </w:r>
      <w:r>
        <w:rPr>
          <w:lang w:eastAsia="ja-JP"/>
        </w:rPr>
        <w:t xml:space="preserve"> </w:t>
      </w:r>
      <w:r w:rsidRPr="007B6C33">
        <w:rPr>
          <w:lang w:eastAsia="ja-JP"/>
        </w:rPr>
        <w:t>nevytváří dostatečné finanční prostředky k pokrytí části či celé investice.</w:t>
      </w:r>
      <w:r>
        <w:rPr>
          <w:lang w:eastAsia="ja-JP"/>
        </w:rPr>
        <w:t xml:space="preserve"> </w:t>
      </w:r>
      <w:r w:rsidRPr="00223DF6">
        <w:rPr>
          <w:lang w:eastAsia="ja-JP"/>
        </w:rPr>
        <w:t>To se ověřuje pomocí pole „Maximální investiční podpora“ na záložce Veřejná podpora.</w:t>
      </w:r>
      <w:r>
        <w:rPr>
          <w:lang w:eastAsia="ja-JP"/>
        </w:rPr>
        <w:t xml:space="preserve"> </w:t>
      </w:r>
    </w:p>
    <w:p w:rsidR="003C14B3" w:rsidRPr="00BC1D7A" w:rsidRDefault="003C14B3" w:rsidP="00BC1D7A">
      <w:pPr>
        <w:pStyle w:val="Odstavecseseznamem"/>
        <w:numPr>
          <w:ilvl w:val="0"/>
          <w:numId w:val="12"/>
        </w:numPr>
        <w:jc w:val="both"/>
        <w:rPr>
          <w:rFonts w:cstheme="minorHAnsi"/>
        </w:rPr>
      </w:pPr>
      <w:r w:rsidRPr="00BC1D7A">
        <w:rPr>
          <w:u w:val="single"/>
          <w:lang w:eastAsia="ja-JP"/>
        </w:rPr>
        <w:t>Modul „CBA veřejná podpora“ je rozdělen na Základní informace, Investice, Provozní náklady a výnosy, Veřejnou podporu.  Součástí vstupních dat pro výpočty „CBA veřejná podpora“ nejsou, na rozdíl od modulu „CBA standardní“ zdroje financování).</w:t>
      </w:r>
    </w:p>
    <w:p w:rsidR="005614A1" w:rsidRPr="0078744D" w:rsidRDefault="005614A1" w:rsidP="003C14B3">
      <w:pPr>
        <w:autoSpaceDE w:val="0"/>
        <w:autoSpaceDN w:val="0"/>
        <w:adjustRightInd w:val="0"/>
        <w:spacing w:after="120" w:line="240" w:lineRule="auto"/>
        <w:rPr>
          <w:rFonts w:cstheme="minorHAnsi"/>
          <w:color w:val="548DD4" w:themeColor="text2" w:themeTint="99"/>
          <w:sz w:val="28"/>
          <w:szCs w:val="28"/>
          <w:u w:val="single"/>
        </w:rPr>
      </w:pPr>
      <w:r w:rsidRPr="0078744D">
        <w:rPr>
          <w:rFonts w:cstheme="minorHAnsi"/>
          <w:b/>
          <w:bCs/>
          <w:color w:val="548DD4" w:themeColor="text2" w:themeTint="99"/>
          <w:sz w:val="28"/>
          <w:szCs w:val="28"/>
          <w:u w:val="single"/>
        </w:rPr>
        <w:t xml:space="preserve">Základní vstupní údaje pro CBA s veřejnou podporou: </w:t>
      </w:r>
    </w:p>
    <w:p w:rsidR="005614A1" w:rsidRPr="00BC1D7A" w:rsidRDefault="005614A1" w:rsidP="003C14B3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>Základní informace – veřejná podpora (zaškrtávací pole), referenční období 10 let (FA), rozdílová varianta (zaškrtávací pole</w:t>
      </w:r>
      <w:r w:rsidR="00BC1D7A" w:rsidRPr="00BC1D7A">
        <w:rPr>
          <w:rFonts w:cstheme="minorHAnsi"/>
          <w:color w:val="000000"/>
        </w:rPr>
        <w:t xml:space="preserve"> – uveďte NE x</w:t>
      </w:r>
      <w:r w:rsidRPr="00BC1D7A">
        <w:rPr>
          <w:rFonts w:cstheme="minorHAnsi"/>
          <w:color w:val="000000"/>
        </w:rPr>
        <w:t xml:space="preserve">), celkové způsobilé výdaje. </w:t>
      </w:r>
    </w:p>
    <w:p w:rsidR="005614A1" w:rsidRPr="00BC1D7A" w:rsidRDefault="005614A1" w:rsidP="003C14B3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Investice – celkové investiční náklady zadávané do období realizace projektu. </w:t>
      </w:r>
    </w:p>
    <w:p w:rsidR="005614A1" w:rsidRDefault="005614A1" w:rsidP="003C14B3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Provozní náklady a výnosy: </w:t>
      </w:r>
    </w:p>
    <w:p w:rsidR="00BC1D7A" w:rsidRDefault="00BC1D7A" w:rsidP="00BC1D7A">
      <w:pPr>
        <w:pStyle w:val="Odstavecseseznamem"/>
        <w:autoSpaceDE w:val="0"/>
        <w:autoSpaceDN w:val="0"/>
        <w:adjustRightInd w:val="0"/>
        <w:spacing w:after="120" w:line="240" w:lineRule="auto"/>
        <w:ind w:left="1080"/>
        <w:rPr>
          <w:rFonts w:cstheme="minorHAnsi"/>
          <w:color w:val="000000"/>
        </w:rPr>
      </w:pPr>
    </w:p>
    <w:p w:rsidR="00BC1D7A" w:rsidRPr="00BC1D7A" w:rsidRDefault="00BC1D7A" w:rsidP="00BC1D7A">
      <w:pPr>
        <w:pStyle w:val="Odstavecseseznamem"/>
        <w:autoSpaceDE w:val="0"/>
        <w:autoSpaceDN w:val="0"/>
        <w:adjustRightInd w:val="0"/>
        <w:spacing w:after="120" w:line="240" w:lineRule="auto"/>
        <w:ind w:left="1080"/>
        <w:rPr>
          <w:rFonts w:cstheme="minorHAnsi"/>
          <w:i/>
          <w:color w:val="000000"/>
        </w:rPr>
      </w:pPr>
      <w:r w:rsidRPr="00BC1D7A">
        <w:rPr>
          <w:rFonts w:cstheme="minorHAnsi"/>
          <w:i/>
          <w:color w:val="000000"/>
        </w:rPr>
        <w:t>Uvádí se ve dvou variantách</w:t>
      </w:r>
    </w:p>
    <w:p w:rsidR="00BC1D7A" w:rsidRPr="00BC1D7A" w:rsidRDefault="00BC1D7A" w:rsidP="00BC1D7A">
      <w:pPr>
        <w:pStyle w:val="Odstavecseseznamem"/>
        <w:autoSpaceDE w:val="0"/>
        <w:autoSpaceDN w:val="0"/>
        <w:adjustRightInd w:val="0"/>
        <w:spacing w:after="120" w:line="240" w:lineRule="auto"/>
        <w:ind w:left="1800"/>
        <w:rPr>
          <w:rFonts w:cstheme="minorHAnsi"/>
          <w:i/>
          <w:color w:val="000000"/>
        </w:rPr>
      </w:pPr>
      <w:r w:rsidRPr="00BC1D7A">
        <w:rPr>
          <w:rFonts w:cstheme="minorHAnsi"/>
          <w:i/>
          <w:color w:val="000000"/>
        </w:rPr>
        <w:t>1) Investiční varianta – jaké náklady a výnosy budete mít v případě realizace projektu</w:t>
      </w:r>
    </w:p>
    <w:p w:rsidR="00BC1D7A" w:rsidRPr="00BC1D7A" w:rsidRDefault="00BC1D7A" w:rsidP="00BC1D7A">
      <w:pPr>
        <w:pStyle w:val="Odstavecseseznamem"/>
        <w:autoSpaceDE w:val="0"/>
        <w:autoSpaceDN w:val="0"/>
        <w:adjustRightInd w:val="0"/>
        <w:spacing w:after="120" w:line="240" w:lineRule="auto"/>
        <w:ind w:left="1800"/>
        <w:rPr>
          <w:rFonts w:cstheme="minorHAnsi"/>
          <w:i/>
          <w:color w:val="000000"/>
        </w:rPr>
      </w:pPr>
      <w:r w:rsidRPr="00BC1D7A">
        <w:rPr>
          <w:rFonts w:cstheme="minorHAnsi"/>
          <w:i/>
          <w:color w:val="000000"/>
        </w:rPr>
        <w:t>2) Nulová varianta – jaké náklady a výnosy</w:t>
      </w:r>
      <w:r>
        <w:rPr>
          <w:rFonts w:cstheme="minorHAnsi"/>
          <w:i/>
          <w:color w:val="000000"/>
        </w:rPr>
        <w:t xml:space="preserve"> budete mít, když projekt reali</w:t>
      </w:r>
      <w:r w:rsidRPr="00BC1D7A">
        <w:rPr>
          <w:rFonts w:cstheme="minorHAnsi"/>
          <w:i/>
          <w:color w:val="000000"/>
        </w:rPr>
        <w:t>z</w:t>
      </w:r>
      <w:r>
        <w:rPr>
          <w:rFonts w:cstheme="minorHAnsi"/>
          <w:i/>
          <w:color w:val="000000"/>
        </w:rPr>
        <w:t>ov</w:t>
      </w:r>
      <w:r w:rsidRPr="00BC1D7A">
        <w:rPr>
          <w:rFonts w:cstheme="minorHAnsi"/>
          <w:i/>
          <w:color w:val="000000"/>
        </w:rPr>
        <w:t>at nebudete</w:t>
      </w:r>
    </w:p>
    <w:p w:rsidR="00BC1D7A" w:rsidRDefault="00BC1D7A" w:rsidP="00BC1D7A">
      <w:pPr>
        <w:pStyle w:val="Odstavecseseznamem"/>
        <w:autoSpaceDE w:val="0"/>
        <w:autoSpaceDN w:val="0"/>
        <w:adjustRightInd w:val="0"/>
        <w:spacing w:after="120" w:line="240" w:lineRule="auto"/>
        <w:ind w:left="1800"/>
        <w:rPr>
          <w:rFonts w:cstheme="minorHAnsi"/>
          <w:i/>
          <w:color w:val="000000"/>
        </w:rPr>
      </w:pPr>
      <w:r w:rsidRPr="00BC1D7A">
        <w:rPr>
          <w:rFonts w:cstheme="minorHAnsi"/>
          <w:i/>
          <w:color w:val="000000"/>
        </w:rPr>
        <w:t>= Rozdílová varianta se dopočítá automaticky</w:t>
      </w:r>
    </w:p>
    <w:p w:rsidR="00BC1D7A" w:rsidRDefault="00BC1D7A" w:rsidP="00D26184">
      <w:pPr>
        <w:autoSpaceDE w:val="0"/>
        <w:autoSpaceDN w:val="0"/>
        <w:adjustRightInd w:val="0"/>
        <w:spacing w:after="120" w:line="240" w:lineRule="auto"/>
        <w:ind w:left="708"/>
        <w:jc w:val="both"/>
        <w:rPr>
          <w:rFonts w:cstheme="minorHAnsi"/>
          <w:b/>
          <w:i/>
          <w:color w:val="FF0000"/>
        </w:rPr>
      </w:pPr>
      <w:r w:rsidRPr="00BC1D7A">
        <w:rPr>
          <w:rFonts w:cstheme="minorHAnsi"/>
          <w:b/>
          <w:i/>
          <w:color w:val="FF0000"/>
        </w:rPr>
        <w:t>Upozornění = vždy uvažujte pouze náklady a výnosy, které se přímo váží k investicím, které jsou předmětem projektu</w:t>
      </w:r>
      <w:r>
        <w:rPr>
          <w:rFonts w:cstheme="minorHAnsi"/>
          <w:b/>
          <w:i/>
          <w:color w:val="FF0000"/>
        </w:rPr>
        <w:t>.</w:t>
      </w:r>
      <w:r w:rsidR="00D26184">
        <w:rPr>
          <w:rFonts w:cstheme="minorHAnsi"/>
          <w:b/>
          <w:i/>
          <w:color w:val="FF0000"/>
        </w:rPr>
        <w:t xml:space="preserve"> Údaje by měly odpovídat údajům o </w:t>
      </w:r>
      <w:proofErr w:type="spellStart"/>
      <w:r w:rsidR="00D26184">
        <w:rPr>
          <w:rFonts w:cstheme="minorHAnsi"/>
          <w:b/>
          <w:i/>
          <w:color w:val="FF0000"/>
        </w:rPr>
        <w:t>cashflow</w:t>
      </w:r>
      <w:proofErr w:type="spellEnd"/>
      <w:r w:rsidR="00D26184">
        <w:rPr>
          <w:rFonts w:cstheme="minorHAnsi"/>
          <w:b/>
          <w:i/>
          <w:color w:val="FF0000"/>
        </w:rPr>
        <w:t xml:space="preserve"> ve studii proveditelnosti.</w:t>
      </w:r>
    </w:p>
    <w:p w:rsidR="00D26184" w:rsidRPr="00D26184" w:rsidRDefault="00D26184" w:rsidP="00D26184">
      <w:pPr>
        <w:autoSpaceDE w:val="0"/>
        <w:autoSpaceDN w:val="0"/>
        <w:adjustRightInd w:val="0"/>
        <w:spacing w:after="120" w:line="240" w:lineRule="auto"/>
        <w:ind w:left="708"/>
        <w:jc w:val="both"/>
        <w:rPr>
          <w:rFonts w:cstheme="minorHAnsi"/>
          <w:b/>
          <w:i/>
          <w:color w:val="FF0000"/>
        </w:rPr>
      </w:pPr>
      <w:r>
        <w:rPr>
          <w:rFonts w:cstheme="minorHAnsi"/>
          <w:b/>
          <w:i/>
          <w:color w:val="FF0000"/>
        </w:rPr>
        <w:t xml:space="preserve">Údaje je třeba zadávat v reálných cenách – </w:t>
      </w:r>
      <w:proofErr w:type="gramStart"/>
      <w:r>
        <w:rPr>
          <w:rFonts w:cstheme="minorHAnsi"/>
          <w:b/>
          <w:i/>
          <w:color w:val="FF0000"/>
        </w:rPr>
        <w:t>viz. postup</w:t>
      </w:r>
      <w:proofErr w:type="gramEnd"/>
      <w:r>
        <w:rPr>
          <w:rFonts w:cstheme="minorHAnsi"/>
          <w:b/>
          <w:i/>
          <w:color w:val="FF0000"/>
        </w:rPr>
        <w:t xml:space="preserve"> níže.</w:t>
      </w:r>
    </w:p>
    <w:p w:rsidR="005614A1" w:rsidRPr="00BC1D7A" w:rsidRDefault="005614A1" w:rsidP="003C14B3">
      <w:pPr>
        <w:autoSpaceDE w:val="0"/>
        <w:autoSpaceDN w:val="0"/>
        <w:adjustRightInd w:val="0"/>
        <w:spacing w:after="120" w:line="240" w:lineRule="auto"/>
        <w:ind w:firstLine="360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o celkové provozní náklady v jednotlivých letech referenčního období: </w:t>
      </w:r>
    </w:p>
    <w:p w:rsidR="005614A1" w:rsidRDefault="005614A1" w:rsidP="00BC1D7A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>příklady provozních nákladů (</w:t>
      </w:r>
      <w:r w:rsidRPr="00BC1D7A">
        <w:rPr>
          <w:rFonts w:cstheme="minorHAnsi"/>
          <w:i/>
          <w:iCs/>
          <w:color w:val="000000"/>
        </w:rPr>
        <w:t>kvůli diskontované metodě CF jen „peněžní odtoky“</w:t>
      </w:r>
      <w:r w:rsidRPr="00BC1D7A">
        <w:rPr>
          <w:rFonts w:cstheme="minorHAnsi"/>
          <w:color w:val="000000"/>
        </w:rPr>
        <w:t xml:space="preserve">): osobní náklady (mzdy, odvody), materiální náklady (spotřeba materiálu, energie,…), náklady za služby (opravy/údržba, zaplacené nájemné,…), různé poplatky a daně (s výjimkou DPH, z příjmu, spotřební daně), náklady na výměnu krátkodobých aktiv – tzv. reprodukční náklady. </w:t>
      </w:r>
      <w:r w:rsidRPr="00BC1D7A">
        <w:rPr>
          <w:rFonts w:cstheme="minorHAnsi"/>
          <w:b/>
          <w:bCs/>
          <w:color w:val="000000"/>
        </w:rPr>
        <w:t>NE – odpisy, rezervy</w:t>
      </w:r>
      <w:r w:rsidRPr="00BC1D7A">
        <w:rPr>
          <w:rFonts w:cstheme="minorHAnsi"/>
          <w:color w:val="000000"/>
        </w:rPr>
        <w:t xml:space="preserve">, </w:t>
      </w:r>
    </w:p>
    <w:p w:rsidR="00BC1D7A" w:rsidRDefault="00D26184" w:rsidP="00BC1D7A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celkové finanční náklady pro návratnost investice – např. pojistné</w:t>
      </w:r>
    </w:p>
    <w:p w:rsidR="00D26184" w:rsidRPr="00BC1D7A" w:rsidRDefault="00D26184" w:rsidP="00BC1D7A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celkové finanční náklady ostatní – finanční náklady závislé na způsobu financování = úroky z úvěru na předfinancování</w:t>
      </w:r>
    </w:p>
    <w:p w:rsidR="005614A1" w:rsidRPr="00BC1D7A" w:rsidRDefault="005614A1" w:rsidP="003C14B3">
      <w:pPr>
        <w:autoSpaceDE w:val="0"/>
        <w:autoSpaceDN w:val="0"/>
        <w:adjustRightInd w:val="0"/>
        <w:spacing w:after="120" w:line="240" w:lineRule="auto"/>
        <w:ind w:firstLine="708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o provozní výnosy v jednotlivých letech referenčního období: </w:t>
      </w:r>
    </w:p>
    <w:p w:rsidR="005614A1" w:rsidRPr="00BC1D7A" w:rsidRDefault="005614A1" w:rsidP="00BC1D7A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lastRenderedPageBreak/>
        <w:t xml:space="preserve">příklady provozních výnosů </w:t>
      </w:r>
      <w:r w:rsidRPr="00BC1D7A">
        <w:rPr>
          <w:rFonts w:cstheme="minorHAnsi"/>
          <w:i/>
          <w:iCs/>
          <w:color w:val="000000"/>
        </w:rPr>
        <w:t>(kvůli diskontované metodě CF jen „peněžní přítoky“):</w:t>
      </w:r>
      <w:r w:rsidRPr="00BC1D7A">
        <w:rPr>
          <w:rFonts w:cstheme="minorHAnsi"/>
          <w:color w:val="000000"/>
        </w:rPr>
        <w:t xml:space="preserve">poplatky od klientů. </w:t>
      </w:r>
      <w:r w:rsidRPr="00BC1D7A">
        <w:rPr>
          <w:rFonts w:cstheme="minorHAnsi"/>
          <w:b/>
          <w:bCs/>
          <w:color w:val="000000"/>
        </w:rPr>
        <w:t>NE – smluvní pokuty, transfery a dotace</w:t>
      </w:r>
      <w:r w:rsidRPr="00BC1D7A">
        <w:rPr>
          <w:rFonts w:cstheme="minorHAnsi"/>
          <w:color w:val="000000"/>
        </w:rPr>
        <w:t xml:space="preserve">, </w:t>
      </w:r>
    </w:p>
    <w:p w:rsidR="005614A1" w:rsidRPr="00BC1D7A" w:rsidRDefault="005614A1" w:rsidP="003C14B3">
      <w:pPr>
        <w:autoSpaceDE w:val="0"/>
        <w:autoSpaceDN w:val="0"/>
        <w:adjustRightInd w:val="0"/>
        <w:spacing w:after="120" w:line="240" w:lineRule="auto"/>
        <w:ind w:left="708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o financování provozní ztráty v rozdílové variantě v jednotlivých letech referenčního období: </w:t>
      </w:r>
    </w:p>
    <w:p w:rsidR="005614A1" w:rsidRPr="00BC1D7A" w:rsidRDefault="005614A1" w:rsidP="00BC1D7A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v případě, že provozní náklady převyšují provozní výnosy, je nutné uvést částku pokrývající tento rozdíl (např. z provozních dotací nebo vlastních zdrojů žadatele). </w:t>
      </w:r>
    </w:p>
    <w:p w:rsidR="005614A1" w:rsidRPr="00BC1D7A" w:rsidRDefault="005614A1" w:rsidP="00BC1D7A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cstheme="minorHAnsi"/>
          <w:color w:val="000000"/>
        </w:rPr>
      </w:pPr>
      <w:r w:rsidRPr="00BC1D7A">
        <w:rPr>
          <w:rFonts w:cstheme="minorHAnsi"/>
          <w:color w:val="000000"/>
        </w:rPr>
        <w:t xml:space="preserve">Veřejná podpora – přiměřený zisk 0 %. </w:t>
      </w:r>
    </w:p>
    <w:p w:rsidR="005B6D83" w:rsidRPr="0078744D" w:rsidRDefault="005614A1" w:rsidP="005614A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78744D">
        <w:rPr>
          <w:rFonts w:cstheme="minorHAnsi"/>
          <w:color w:val="000000"/>
        </w:rPr>
        <w:t>Zadané údaje se promítnou do sledované položky Maximální investiční podpora v datové oblasti Veřejná podpora.</w:t>
      </w:r>
    </w:p>
    <w:p w:rsidR="003C14B3" w:rsidRPr="0078744D" w:rsidRDefault="003C14B3" w:rsidP="005614A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3C14B3" w:rsidRPr="0078744D" w:rsidRDefault="003C14B3" w:rsidP="005614A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548DD4" w:themeColor="text2" w:themeTint="99"/>
          <w:sz w:val="28"/>
          <w:szCs w:val="28"/>
          <w:u w:val="single"/>
        </w:rPr>
      </w:pPr>
      <w:r w:rsidRPr="0078744D">
        <w:rPr>
          <w:rFonts w:cstheme="minorHAnsi"/>
          <w:b/>
          <w:color w:val="548DD4" w:themeColor="text2" w:themeTint="99"/>
          <w:sz w:val="28"/>
          <w:szCs w:val="28"/>
          <w:u w:val="single"/>
        </w:rPr>
        <w:t>Postup</w:t>
      </w:r>
    </w:p>
    <w:p w:rsidR="003C14B3" w:rsidRPr="0078744D" w:rsidRDefault="003C14B3" w:rsidP="005614A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3C14B3" w:rsidRPr="0078744D" w:rsidRDefault="003C14B3" w:rsidP="0078744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theme="minorHAnsi"/>
          <w:color w:val="000000"/>
        </w:rPr>
      </w:pPr>
      <w:r w:rsidRPr="0078744D">
        <w:rPr>
          <w:rFonts w:cstheme="minorHAnsi"/>
          <w:color w:val="000000"/>
        </w:rPr>
        <w:t>C</w:t>
      </w:r>
      <w:r w:rsidR="0078744D" w:rsidRPr="0078744D">
        <w:rPr>
          <w:rFonts w:cstheme="minorHAnsi"/>
          <w:color w:val="000000"/>
        </w:rPr>
        <w:t xml:space="preserve">BA analýza se zakládá zvlášť. </w:t>
      </w:r>
    </w:p>
    <w:p w:rsidR="0078744D" w:rsidRPr="0078744D" w:rsidRDefault="0078744D" w:rsidP="0078744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theme="minorHAnsi"/>
          <w:color w:val="000000"/>
        </w:rPr>
      </w:pPr>
      <w:r w:rsidRPr="0078744D">
        <w:rPr>
          <w:rFonts w:cstheme="minorHAnsi"/>
          <w:color w:val="000000"/>
        </w:rPr>
        <w:t>Po vyplnění údajů a finalizaci se CBA naváže na konkrétní projekt.</w:t>
      </w:r>
    </w:p>
    <w:p w:rsidR="003C14B3" w:rsidRPr="0078744D" w:rsidRDefault="003C14B3" w:rsidP="0078744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theme="minorHAnsi"/>
          <w:color w:val="000000"/>
        </w:rPr>
      </w:pPr>
      <w:r w:rsidRPr="0078744D">
        <w:rPr>
          <w:rFonts w:cstheme="minorHAnsi"/>
          <w:color w:val="000000"/>
        </w:rPr>
        <w:t xml:space="preserve">CBA </w:t>
      </w:r>
      <w:r w:rsidR="0078744D">
        <w:rPr>
          <w:rFonts w:cstheme="minorHAnsi"/>
          <w:color w:val="000000"/>
        </w:rPr>
        <w:t>analýzu vyplňujte až po té, co</w:t>
      </w:r>
      <w:r w:rsidRPr="0078744D">
        <w:rPr>
          <w:rFonts w:cstheme="minorHAnsi"/>
          <w:color w:val="000000"/>
        </w:rPr>
        <w:t> máte v žádosti vyplněn rozpočet. V případě změny rozpočtu v žádosti, je třeba upravit i údaje v CBA analýze. Automaticky se změna neprovádí.</w:t>
      </w:r>
    </w:p>
    <w:p w:rsidR="003C14B3" w:rsidRPr="0078744D" w:rsidRDefault="003C14B3" w:rsidP="0078744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theme="minorHAnsi"/>
        </w:rPr>
      </w:pPr>
      <w:r w:rsidRPr="0078744D">
        <w:rPr>
          <w:rFonts w:cstheme="minorHAnsi"/>
          <w:b/>
          <w:lang w:eastAsia="ja-JP"/>
        </w:rPr>
        <w:t>Veškeré částky peněžních toků (s výjimkou investice a zdrojů) se kalkulují a uvádějí v reálných cenách. K převodu nom</w:t>
      </w:r>
      <w:r w:rsidR="0078744D">
        <w:rPr>
          <w:rFonts w:cstheme="minorHAnsi"/>
          <w:b/>
          <w:lang w:eastAsia="ja-JP"/>
        </w:rPr>
        <w:t>in</w:t>
      </w:r>
      <w:r w:rsidRPr="0078744D">
        <w:rPr>
          <w:rFonts w:cstheme="minorHAnsi"/>
          <w:b/>
          <w:lang w:eastAsia="ja-JP"/>
        </w:rPr>
        <w:t>álních cen na reálné slouží převodní tabulka.</w:t>
      </w:r>
    </w:p>
    <w:p w:rsidR="0078744D" w:rsidRPr="0078744D" w:rsidRDefault="0078744D" w:rsidP="0078744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theme="minorHAnsi"/>
          <w:color w:val="548DD4" w:themeColor="text2" w:themeTint="99"/>
        </w:rPr>
      </w:pPr>
      <w:r w:rsidRPr="0078744D">
        <w:rPr>
          <w:rFonts w:cstheme="minorHAnsi"/>
          <w:b/>
          <w:color w:val="548DD4" w:themeColor="text2" w:themeTint="99"/>
          <w:lang w:eastAsia="ja-JP"/>
        </w:rPr>
        <w:t>S vyplněním Vám rádi pomůžeme, na vyplnění si prosím přineste podklady k nákladům a výnosům, které se váží k předmětu projektu (spotřeba energie, osobní náklady, příjmy od klientů… - vždy je třeba uvažovat pouze poměrnou část, která se váže k předmětu projekt</w:t>
      </w:r>
      <w:r>
        <w:rPr>
          <w:rFonts w:cstheme="minorHAnsi"/>
          <w:b/>
          <w:color w:val="548DD4" w:themeColor="text2" w:themeTint="99"/>
          <w:lang w:eastAsia="ja-JP"/>
        </w:rPr>
        <w:t>u</w:t>
      </w:r>
      <w:r w:rsidRPr="0078744D">
        <w:rPr>
          <w:rFonts w:cstheme="minorHAnsi"/>
          <w:b/>
          <w:color w:val="548DD4" w:themeColor="text2" w:themeTint="99"/>
          <w:lang w:eastAsia="ja-JP"/>
        </w:rPr>
        <w:t>).</w:t>
      </w:r>
    </w:p>
    <w:p w:rsid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Šipka dolů 27" o:spid="_x0000_s1026" type="#_x0000_t67" style="position:absolute;left:0;text-align:left;margin-left:230.45pt;margin-top:31.2pt;width:26.25pt;height:14.25pt;z-index:2516582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j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" adj="10800" fillcolor="#c00000" strokecolor="#243f60 [1604]" strokeweight="2pt"/>
        </w:pict>
      </w:r>
      <w:r w:rsidRPr="0078744D">
        <w:rPr>
          <w:rFonts w:cstheme="minorHAnsi"/>
          <w:color w:val="548DD4" w:themeColor="text2" w:themeTint="99"/>
        </w:rPr>
        <w:drawing>
          <wp:inline distT="0" distB="0" distL="0" distR="0">
            <wp:extent cx="5760720" cy="1588700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78744D" w:rsidRP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</w:rPr>
      </w:pPr>
      <w:r w:rsidRPr="0078744D">
        <w:rPr>
          <w:rFonts w:cstheme="minorHAnsi"/>
          <w:b/>
        </w:rPr>
        <w:t>Založení nové CBA</w:t>
      </w:r>
    </w:p>
    <w:p w:rsid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cs-CZ"/>
        </w:rPr>
        <w:pict>
          <v:shape id="_x0000_s1027" type="#_x0000_t67" style="position:absolute;left:0;text-align:left;margin-left:24.7pt;margin-top:3.3pt;width:26.25pt;height:14.25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j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" adj="10800" fillcolor="#c00000" strokecolor="#243f60 [1604]" strokeweight="2pt"/>
        </w:pict>
      </w:r>
    </w:p>
    <w:p w:rsid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 w:rsidRPr="0078744D">
        <w:rPr>
          <w:rFonts w:cstheme="minorHAnsi"/>
          <w:color w:val="548DD4" w:themeColor="text2" w:themeTint="99"/>
        </w:rPr>
        <w:drawing>
          <wp:inline distT="0" distB="0" distL="0" distR="0">
            <wp:extent cx="5760720" cy="1847239"/>
            <wp:effectExtent l="19050" t="0" r="0" b="0"/>
            <wp:docPr id="3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4D" w:rsidRPr="0078744D" w:rsidRDefault="0078744D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</w:rPr>
      </w:pPr>
      <w:r w:rsidRPr="0078744D">
        <w:rPr>
          <w:rFonts w:cstheme="minorHAnsi"/>
          <w:b/>
        </w:rPr>
        <w:lastRenderedPageBreak/>
        <w:t>Vyberete IROP – 06 – Integrovaný regionální operační program</w:t>
      </w:r>
    </w:p>
    <w:p w:rsidR="0078744D" w:rsidRDefault="00712EF7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cs-CZ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05.15pt;margin-top:131.05pt;width:12.6pt;height:7.15pt;z-index:251660288" fillcolor="red"/>
        </w:pict>
      </w:r>
      <w:r w:rsidR="0078744D" w:rsidRPr="0078744D">
        <w:rPr>
          <w:rFonts w:cstheme="minorHAnsi"/>
          <w:noProof/>
          <w:color w:val="548DD4" w:themeColor="text2" w:themeTint="99"/>
          <w:highlight w:val="yellow"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P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</w:rPr>
      </w:pPr>
      <w:r w:rsidRPr="00340672">
        <w:rPr>
          <w:rFonts w:cstheme="minorHAnsi"/>
          <w:b/>
        </w:rPr>
        <w:t xml:space="preserve">Vyberte výzvu -  </w:t>
      </w:r>
      <w:hyperlink r:id="rId10" w:history="1">
        <w:r w:rsidRPr="00340672">
          <w:rPr>
            <w:rStyle w:val="Hypertextovodkaz"/>
            <w:b/>
            <w:color w:val="auto"/>
          </w:rPr>
          <w:t>60., 61. a 62. výzva na SC 2.1 - Sociální infrastruktura CLLD, ITI a IPRÚ</w:t>
        </w:r>
      </w:hyperlink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cs-CZ"/>
        </w:rPr>
        <w:pict>
          <v:shape id="_x0000_s1030" type="#_x0000_t66" style="position:absolute;left:0;text-align:left;margin-left:247.15pt;margin-top:164.6pt;width:43.2pt;height:7.15pt;z-index:251661312" fillcolor="red"/>
        </w:pict>
      </w:r>
      <w:r>
        <w:rPr>
          <w:rFonts w:cstheme="minorHAnsi"/>
          <w:noProof/>
          <w:color w:val="548DD4" w:themeColor="text2" w:themeTint="99"/>
          <w:lang w:eastAsia="cs-CZ"/>
        </w:rPr>
        <w:drawing>
          <wp:inline distT="0" distB="0" distL="0" distR="0">
            <wp:extent cx="5760720" cy="3240405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</w:rPr>
      </w:pPr>
      <w:r w:rsidRPr="00340672">
        <w:rPr>
          <w:rFonts w:cstheme="minorHAnsi"/>
          <w:b/>
        </w:rPr>
        <w:lastRenderedPageBreak/>
        <w:t xml:space="preserve">Označte </w:t>
      </w:r>
      <w:proofErr w:type="spellStart"/>
      <w:r w:rsidRPr="00340672">
        <w:rPr>
          <w:rFonts w:cstheme="minorHAnsi"/>
          <w:b/>
        </w:rPr>
        <w:t>checkbox</w:t>
      </w:r>
      <w:proofErr w:type="spellEnd"/>
      <w:r w:rsidRPr="00340672">
        <w:rPr>
          <w:rFonts w:cstheme="minorHAnsi"/>
          <w:b/>
        </w:rPr>
        <w:t xml:space="preserve"> veřejná podpora</w:t>
      </w:r>
      <w:r>
        <w:rPr>
          <w:rFonts w:cstheme="minorHAnsi"/>
          <w:b/>
        </w:rPr>
        <w:t xml:space="preserve"> ANO </w:t>
      </w:r>
    </w:p>
    <w:p w:rsidR="00340672" w:rsidRPr="00272A8A" w:rsidRDefault="00340672" w:rsidP="0034067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proofErr w:type="spellStart"/>
      <w:r w:rsidRPr="00272A8A">
        <w:rPr>
          <w:rFonts w:cstheme="minorHAnsi"/>
        </w:rPr>
        <w:t>Checkbox</w:t>
      </w:r>
      <w:proofErr w:type="spellEnd"/>
      <w:r w:rsidRPr="00272A8A">
        <w:rPr>
          <w:rFonts w:cstheme="minorHAnsi"/>
        </w:rPr>
        <w:t xml:space="preserve"> rozdílová varianta označte NE</w:t>
      </w:r>
    </w:p>
    <w:p w:rsidR="00340672" w:rsidRPr="00272A8A" w:rsidRDefault="00272A8A" w:rsidP="0034067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 w:rsidRPr="00272A8A">
        <w:rPr>
          <w:rFonts w:cstheme="minorHAnsi"/>
        </w:rPr>
        <w:t>Doplňte</w:t>
      </w:r>
      <w:r w:rsidR="00340672" w:rsidRPr="00272A8A">
        <w:rPr>
          <w:rFonts w:cstheme="minorHAnsi"/>
        </w:rPr>
        <w:t xml:space="preserve"> název</w:t>
      </w:r>
    </w:p>
    <w:p w:rsidR="00340672" w:rsidRPr="00272A8A" w:rsidRDefault="00272A8A" w:rsidP="0034067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 w:rsidRPr="00272A8A">
        <w:rPr>
          <w:rFonts w:cstheme="minorHAnsi"/>
        </w:rPr>
        <w:t>Vyplňte</w:t>
      </w:r>
      <w:r w:rsidR="00340672" w:rsidRPr="00272A8A">
        <w:rPr>
          <w:rFonts w:cstheme="minorHAnsi"/>
        </w:rPr>
        <w:t xml:space="preserve"> období – začátek realizace je </w:t>
      </w:r>
      <w:r w:rsidRPr="00272A8A">
        <w:rPr>
          <w:rFonts w:cstheme="minorHAnsi"/>
        </w:rPr>
        <w:t>shodný</w:t>
      </w:r>
      <w:r w:rsidR="00340672" w:rsidRPr="00272A8A">
        <w:rPr>
          <w:rFonts w:cstheme="minorHAnsi"/>
        </w:rPr>
        <w:t xml:space="preserve"> s počátkem realizace projektu</w:t>
      </w:r>
    </w:p>
    <w:p w:rsidR="00340672" w:rsidRPr="00272A8A" w:rsidRDefault="00340672" w:rsidP="00272A8A">
      <w:pPr>
        <w:pStyle w:val="Odstavecseseznamem"/>
        <w:autoSpaceDE w:val="0"/>
        <w:autoSpaceDN w:val="0"/>
        <w:adjustRightInd w:val="0"/>
        <w:spacing w:after="120" w:line="240" w:lineRule="auto"/>
        <w:ind w:left="2508"/>
        <w:jc w:val="both"/>
        <w:rPr>
          <w:rFonts w:cstheme="minorHAnsi"/>
        </w:rPr>
      </w:pPr>
      <w:r w:rsidRPr="00272A8A">
        <w:rPr>
          <w:rFonts w:cstheme="minorHAnsi"/>
        </w:rPr>
        <w:t xml:space="preserve">- </w:t>
      </w:r>
      <w:r w:rsidR="00272A8A" w:rsidRPr="00272A8A">
        <w:rPr>
          <w:rFonts w:cstheme="minorHAnsi"/>
        </w:rPr>
        <w:t>konec referenčního období – začátek + 10 let</w:t>
      </w:r>
    </w:p>
    <w:p w:rsidR="00272A8A" w:rsidRDefault="00272A8A" w:rsidP="00272A8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 w:rsidRPr="00272A8A">
        <w:rPr>
          <w:rFonts w:cstheme="minorHAnsi"/>
        </w:rPr>
        <w:t>Typ veřejné podpory – vyberte variantu investiční</w:t>
      </w:r>
    </w:p>
    <w:p w:rsidR="00272A8A" w:rsidRDefault="00272A8A" w:rsidP="00272A8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Doplňte celkové způsobilé výdaje dle rozpočtu žádosti</w:t>
      </w:r>
    </w:p>
    <w:p w:rsidR="00272A8A" w:rsidRPr="00272A8A" w:rsidRDefault="00272A8A" w:rsidP="00272A8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Stiskněte provést změnu + uložit</w:t>
      </w:r>
    </w:p>
    <w:p w:rsidR="00340672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</w:p>
    <w:p w:rsidR="00340672" w:rsidRPr="0078744D" w:rsidRDefault="00340672" w:rsidP="0078744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cs-CZ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left:0;text-align:left;margin-left:231.55pt;margin-top:203.55pt;width:7.15pt;height:13.2pt;z-index:251663360" fillcolor="red">
            <v:textbox style="layout-flow:vertical-ideographic"/>
          </v:shape>
        </w:pict>
      </w:r>
      <w:r>
        <w:rPr>
          <w:rFonts w:cstheme="minorHAnsi"/>
          <w:noProof/>
          <w:color w:val="548DD4" w:themeColor="text2" w:themeTint="99"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53.35pt;margin-top:150.95pt;width:54.6pt;height:9.6pt;z-index:251662336" fillcolor="red"/>
        </w:pict>
      </w:r>
      <w:r>
        <w:rPr>
          <w:rFonts w:cstheme="minorHAnsi"/>
          <w:noProof/>
          <w:color w:val="548DD4" w:themeColor="text2" w:themeTint="99"/>
          <w:lang w:eastAsia="cs-CZ"/>
        </w:rPr>
        <w:drawing>
          <wp:inline distT="0" distB="0" distL="0" distR="0">
            <wp:extent cx="5760720" cy="3240405"/>
            <wp:effectExtent l="19050" t="0" r="0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672" w:rsidRPr="0078744D" w:rsidSect="00C7468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EF7" w:rsidRDefault="00712EF7" w:rsidP="00004AF8">
      <w:pPr>
        <w:spacing w:after="0" w:line="240" w:lineRule="auto"/>
      </w:pPr>
      <w:r>
        <w:separator/>
      </w:r>
    </w:p>
  </w:endnote>
  <w:endnote w:type="continuationSeparator" w:id="0">
    <w:p w:rsidR="00712EF7" w:rsidRDefault="00712EF7" w:rsidP="0000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4079"/>
      <w:docPartObj>
        <w:docPartGallery w:val="Page Numbers (Bottom of Page)"/>
        <w:docPartUnique/>
      </w:docPartObj>
    </w:sdtPr>
    <w:sdtContent>
      <w:p w:rsidR="00712EF7" w:rsidRDefault="00712EF7">
        <w:pPr>
          <w:pStyle w:val="Zpat"/>
          <w:jc w:val="center"/>
        </w:pPr>
        <w:fldSimple w:instr=" PAGE   \* MERGEFORMAT ">
          <w:r w:rsidR="00272A8A">
            <w:rPr>
              <w:noProof/>
            </w:rPr>
            <w:t>3</w:t>
          </w:r>
        </w:fldSimple>
      </w:p>
    </w:sdtContent>
  </w:sdt>
  <w:p w:rsidR="00712EF7" w:rsidRDefault="00712EF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EF7" w:rsidRDefault="00712EF7">
    <w:pPr>
      <w:pStyle w:val="Zpat"/>
    </w:pPr>
    <w:r w:rsidRPr="00C74686">
      <w:rPr>
        <w:noProof/>
        <w:lang w:eastAsia="cs-CZ"/>
      </w:rPr>
      <w:drawing>
        <wp:inline distT="0" distB="0" distL="0" distR="0">
          <wp:extent cx="5753100" cy="952500"/>
          <wp:effectExtent l="19050" t="0" r="0" b="0"/>
          <wp:docPr id="1" name="Obrázek 2" descr="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IROP_CZ_RO_B_C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EF7" w:rsidRDefault="00712EF7" w:rsidP="00004AF8">
      <w:pPr>
        <w:spacing w:after="0" w:line="240" w:lineRule="auto"/>
      </w:pPr>
      <w:r>
        <w:separator/>
      </w:r>
    </w:p>
  </w:footnote>
  <w:footnote w:type="continuationSeparator" w:id="0">
    <w:p w:rsidR="00712EF7" w:rsidRDefault="00712EF7" w:rsidP="0000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EF7" w:rsidRDefault="00712EF7">
    <w:pPr>
      <w:pStyle w:val="Zhlav"/>
    </w:pPr>
    <w:r w:rsidRPr="00004AF8">
      <w:rPr>
        <w:noProof/>
        <w:lang w:eastAsia="cs-CZ"/>
      </w:rPr>
      <w:drawing>
        <wp:inline distT="0" distB="0" distL="0" distR="0">
          <wp:extent cx="5760720" cy="776213"/>
          <wp:effectExtent l="19050" t="0" r="0" b="0"/>
          <wp:docPr id="7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6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12EF7" w:rsidRDefault="00712EF7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EF7" w:rsidRDefault="00712EF7">
    <w:pPr>
      <w:pStyle w:val="Zhlav"/>
    </w:pPr>
    <w:r w:rsidRPr="00C74686">
      <w:rPr>
        <w:noProof/>
        <w:lang w:eastAsia="cs-CZ"/>
      </w:rPr>
      <w:drawing>
        <wp:inline distT="0" distB="0" distL="0" distR="0">
          <wp:extent cx="5760720" cy="776213"/>
          <wp:effectExtent l="19050" t="0" r="0" b="0"/>
          <wp:docPr id="2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6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64F"/>
    <w:multiLevelType w:val="hybridMultilevel"/>
    <w:tmpl w:val="6EAAF098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176F2"/>
    <w:multiLevelType w:val="hybridMultilevel"/>
    <w:tmpl w:val="01DA76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A7C"/>
    <w:multiLevelType w:val="hybridMultilevel"/>
    <w:tmpl w:val="C74893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C2239"/>
    <w:multiLevelType w:val="hybridMultilevel"/>
    <w:tmpl w:val="CB3EA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14B3F"/>
    <w:multiLevelType w:val="hybridMultilevel"/>
    <w:tmpl w:val="D5444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67DD8"/>
    <w:multiLevelType w:val="hybridMultilevel"/>
    <w:tmpl w:val="5B6002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82ECA"/>
    <w:multiLevelType w:val="hybridMultilevel"/>
    <w:tmpl w:val="87A69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F20A1"/>
    <w:multiLevelType w:val="hybridMultilevel"/>
    <w:tmpl w:val="E11EC5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512C9"/>
    <w:multiLevelType w:val="hybridMultilevel"/>
    <w:tmpl w:val="CB4EF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A69C0"/>
    <w:multiLevelType w:val="hybridMultilevel"/>
    <w:tmpl w:val="691496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D075B"/>
    <w:multiLevelType w:val="hybridMultilevel"/>
    <w:tmpl w:val="70CCCDD2"/>
    <w:lvl w:ilvl="0" w:tplc="0786151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38E1B21"/>
    <w:multiLevelType w:val="hybridMultilevel"/>
    <w:tmpl w:val="F2CC2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D34DE4"/>
    <w:multiLevelType w:val="hybridMultilevel"/>
    <w:tmpl w:val="75B402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82509B"/>
    <w:multiLevelType w:val="hybridMultilevel"/>
    <w:tmpl w:val="FE0A50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27BA5"/>
    <w:multiLevelType w:val="hybridMultilevel"/>
    <w:tmpl w:val="68226B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9"/>
  </w:num>
  <w:num w:numId="5">
    <w:abstractNumId w:val="6"/>
  </w:num>
  <w:num w:numId="6">
    <w:abstractNumId w:val="14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3"/>
  </w:num>
  <w:num w:numId="12">
    <w:abstractNumId w:val="7"/>
  </w:num>
  <w:num w:numId="13">
    <w:abstractNumId w:val="0"/>
  </w:num>
  <w:num w:numId="14">
    <w:abstractNumId w:val="1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174225"/>
    <w:rsid w:val="00004AF8"/>
    <w:rsid w:val="00174225"/>
    <w:rsid w:val="001A4DBC"/>
    <w:rsid w:val="001D5034"/>
    <w:rsid w:val="00272A8A"/>
    <w:rsid w:val="00340672"/>
    <w:rsid w:val="003C14B3"/>
    <w:rsid w:val="003F473E"/>
    <w:rsid w:val="005614A1"/>
    <w:rsid w:val="005B6D83"/>
    <w:rsid w:val="006676D7"/>
    <w:rsid w:val="006E6D3C"/>
    <w:rsid w:val="00712EF7"/>
    <w:rsid w:val="0078744D"/>
    <w:rsid w:val="007A1094"/>
    <w:rsid w:val="00932AF1"/>
    <w:rsid w:val="00A43473"/>
    <w:rsid w:val="00A62E68"/>
    <w:rsid w:val="00BC1D7A"/>
    <w:rsid w:val="00C74686"/>
    <w:rsid w:val="00CA46D3"/>
    <w:rsid w:val="00D26184"/>
    <w:rsid w:val="00EE186D"/>
    <w:rsid w:val="00FC5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034"/>
  </w:style>
  <w:style w:type="paragraph" w:styleId="Nadpis3">
    <w:name w:val="heading 3"/>
    <w:basedOn w:val="Normln"/>
    <w:link w:val="Nadpis3Char"/>
    <w:uiPriority w:val="9"/>
    <w:qFormat/>
    <w:rsid w:val="00EE18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742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1A4DBC"/>
    <w:pPr>
      <w:ind w:left="720"/>
      <w:contextualSpacing/>
    </w:p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basedOn w:val="Standardnpsmoodstavce"/>
    <w:link w:val="Odstavecseseznamem"/>
    <w:uiPriority w:val="34"/>
    <w:locked/>
    <w:rsid w:val="001A4DBC"/>
  </w:style>
  <w:style w:type="paragraph" w:styleId="Zhlav">
    <w:name w:val="header"/>
    <w:basedOn w:val="Normln"/>
    <w:link w:val="ZhlavChar"/>
    <w:uiPriority w:val="99"/>
    <w:unhideWhenUsed/>
    <w:rsid w:val="0000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4AF8"/>
  </w:style>
  <w:style w:type="paragraph" w:styleId="Zpat">
    <w:name w:val="footer"/>
    <w:basedOn w:val="Normln"/>
    <w:link w:val="ZpatChar"/>
    <w:uiPriority w:val="99"/>
    <w:unhideWhenUsed/>
    <w:rsid w:val="0000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4AF8"/>
  </w:style>
  <w:style w:type="paragraph" w:styleId="Textbubliny">
    <w:name w:val="Balloon Text"/>
    <w:basedOn w:val="Normln"/>
    <w:link w:val="TextbublinyChar"/>
    <w:uiPriority w:val="99"/>
    <w:semiHidden/>
    <w:unhideWhenUsed/>
    <w:rsid w:val="0000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4AF8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EE186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E6D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mseu.mssf.cz/podstromCBA.aspx?frmID=167485080&amp;ID=1721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596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mas04</dc:creator>
  <cp:lastModifiedBy>mas04</cp:lastModifiedBy>
  <cp:revision>4</cp:revision>
  <dcterms:created xsi:type="dcterms:W3CDTF">2017-04-24T06:02:00Z</dcterms:created>
  <dcterms:modified xsi:type="dcterms:W3CDTF">2017-04-25T07:19:00Z</dcterms:modified>
</cp:coreProperties>
</file>